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C9" w:rsidRPr="005C598D" w:rsidRDefault="003D31C9" w:rsidP="005C598D">
      <w:pPr>
        <w:spacing w:after="0" w:line="36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5C598D">
        <w:rPr>
          <w:rFonts w:ascii="Arial" w:hAnsi="Arial" w:cs="Arial"/>
          <w:b/>
          <w:bCs/>
        </w:rPr>
        <w:t>Daniel Ludwik</w:t>
      </w:r>
    </w:p>
    <w:p w:rsidR="003D31C9" w:rsidRPr="005C598D" w:rsidRDefault="003D31C9" w:rsidP="005C598D">
      <w:pPr>
        <w:spacing w:after="0" w:line="360" w:lineRule="auto"/>
        <w:jc w:val="right"/>
        <w:rPr>
          <w:rFonts w:ascii="Arial" w:hAnsi="Arial" w:cs="Arial"/>
        </w:rPr>
      </w:pPr>
      <w:r w:rsidRPr="005C598D">
        <w:rPr>
          <w:rFonts w:ascii="Arial" w:hAnsi="Arial" w:cs="Arial"/>
        </w:rPr>
        <w:t>Teologia pastoralna, rok IV</w:t>
      </w:r>
    </w:p>
    <w:p w:rsidR="003D31C9" w:rsidRPr="005C598D" w:rsidRDefault="003D31C9" w:rsidP="005C598D">
      <w:pPr>
        <w:spacing w:after="0"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spacing w:after="0"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color w:val="2F5496"/>
          <w:sz w:val="36"/>
          <w:szCs w:val="36"/>
        </w:rPr>
      </w:pPr>
      <w:r w:rsidRPr="005C598D">
        <w:rPr>
          <w:rFonts w:ascii="Arial" w:hAnsi="Arial" w:cs="Arial"/>
          <w:b/>
          <w:bCs/>
          <w:color w:val="2F5496"/>
          <w:sz w:val="36"/>
          <w:szCs w:val="36"/>
        </w:rPr>
        <w:t>SCHEMAT SCENARIUSZA LEKCJI RELIGII</w:t>
      </w:r>
    </w:p>
    <w:p w:rsidR="003D31C9" w:rsidRPr="005C598D" w:rsidRDefault="003D31C9" w:rsidP="005C598D">
      <w:pPr>
        <w:spacing w:after="0" w:line="360" w:lineRule="auto"/>
        <w:jc w:val="right"/>
        <w:rPr>
          <w:rFonts w:ascii="Arial" w:hAnsi="Arial" w:cs="Arial"/>
          <w:color w:val="A6A6A6"/>
          <w:sz w:val="24"/>
          <w:szCs w:val="24"/>
        </w:rPr>
      </w:pPr>
      <w:r w:rsidRPr="005C598D">
        <w:rPr>
          <w:rFonts w:ascii="Arial" w:hAnsi="Arial" w:cs="Arial"/>
          <w:color w:val="A6A6A6"/>
          <w:sz w:val="24"/>
          <w:szCs w:val="24"/>
        </w:rPr>
        <w:t>Wydział Teologiczny Uniwersytetu Śląskiego</w:t>
      </w:r>
    </w:p>
    <w:p w:rsidR="003D31C9" w:rsidRPr="005C598D" w:rsidRDefault="003D31C9" w:rsidP="005C598D">
      <w:pPr>
        <w:spacing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5C598D">
        <w:rPr>
          <w:rFonts w:ascii="Arial" w:hAnsi="Arial" w:cs="Arial"/>
          <w:b/>
          <w:bCs/>
          <w:color w:val="2F5496"/>
          <w:sz w:val="24"/>
          <w:szCs w:val="24"/>
        </w:rPr>
        <w:t>Część ogólna</w:t>
      </w:r>
    </w:p>
    <w:p w:rsidR="003D31C9" w:rsidRPr="005C598D" w:rsidRDefault="003D31C9" w:rsidP="005C598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5C598D">
        <w:rPr>
          <w:rFonts w:ascii="Arial" w:hAnsi="Arial" w:cs="Arial"/>
        </w:rPr>
        <w:t xml:space="preserve">Szkoła: </w:t>
      </w:r>
      <w:r w:rsidRPr="005C598D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5C598D">
        <w:rPr>
          <w:rFonts w:ascii="Arial" w:hAnsi="Arial" w:cs="Arial"/>
        </w:rPr>
        <w:t xml:space="preserve">odstawowa </w:t>
      </w:r>
    </w:p>
    <w:p w:rsidR="003D31C9" w:rsidRPr="005C598D" w:rsidRDefault="003D31C9" w:rsidP="005C598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5C598D">
        <w:rPr>
          <w:rFonts w:ascii="Arial" w:hAnsi="Arial" w:cs="Arial"/>
        </w:rPr>
        <w:t xml:space="preserve">Klasa: </w:t>
      </w:r>
      <w:r w:rsidRPr="005C598D">
        <w:rPr>
          <w:rFonts w:ascii="Arial" w:hAnsi="Arial" w:cs="Arial"/>
        </w:rPr>
        <w:tab/>
      </w:r>
      <w:r w:rsidRPr="005C598D">
        <w:rPr>
          <w:rFonts w:ascii="Arial" w:hAnsi="Arial" w:cs="Arial"/>
        </w:rPr>
        <w:tab/>
        <w:t>1-4</w:t>
      </w:r>
      <w:r w:rsidRPr="005C598D">
        <w:rPr>
          <w:rFonts w:ascii="Arial" w:hAnsi="Arial" w:cs="Arial"/>
        </w:rPr>
        <w:tab/>
        <w:t xml:space="preserve">   </w:t>
      </w:r>
    </w:p>
    <w:p w:rsidR="003D31C9" w:rsidRPr="005C598D" w:rsidRDefault="003D31C9" w:rsidP="005C598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>
        <w:rPr>
          <w:rFonts w:ascii="Arial" w:hAnsi="Arial" w:cs="Arial"/>
        </w:rPr>
        <w:t>Lekcja nr</w:t>
      </w:r>
      <w:r w:rsidRPr="005C598D">
        <w:rPr>
          <w:rFonts w:ascii="Arial" w:hAnsi="Arial" w:cs="Arial"/>
        </w:rPr>
        <w:tab/>
        <w:t xml:space="preserve"> 3</w:t>
      </w:r>
    </w:p>
    <w:p w:rsidR="003D31C9" w:rsidRPr="005C598D" w:rsidRDefault="003D31C9" w:rsidP="005C598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5C598D">
        <w:rPr>
          <w:rFonts w:ascii="Arial" w:hAnsi="Arial" w:cs="Arial"/>
        </w:rPr>
        <w:t>Dział programowy: Katechezy specjalne o ks. Janie Masze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</w:rPr>
        <w:br/>
      </w:r>
      <w:r w:rsidRPr="005C598D">
        <w:rPr>
          <w:rFonts w:ascii="Arial" w:hAnsi="Arial" w:cs="Arial"/>
          <w:b/>
          <w:bCs/>
          <w:color w:val="2F5496"/>
          <w:sz w:val="24"/>
          <w:szCs w:val="24"/>
        </w:rPr>
        <w:t>Temat lekcji:</w:t>
      </w:r>
      <w:r w:rsidRPr="005C598D">
        <w:rPr>
          <w:rFonts w:ascii="Arial" w:hAnsi="Arial" w:cs="Arial"/>
          <w:color w:val="2F5496"/>
          <w:sz w:val="24"/>
          <w:szCs w:val="24"/>
        </w:rPr>
        <w:t xml:space="preserve"> </w:t>
      </w:r>
      <w:r w:rsidRPr="005C598D">
        <w:rPr>
          <w:rFonts w:ascii="Arial" w:hAnsi="Arial" w:cs="Arial"/>
        </w:rPr>
        <w:t>Klucz do</w:t>
      </w:r>
      <w:r>
        <w:rPr>
          <w:rFonts w:ascii="Arial" w:hAnsi="Arial" w:cs="Arial"/>
        </w:rPr>
        <w:t xml:space="preserve"> świętości ks. Jana Machy cz. 2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</w:rPr>
        <w:br/>
      </w:r>
      <w:r w:rsidRPr="005C598D">
        <w:rPr>
          <w:rFonts w:ascii="Arial" w:hAnsi="Arial" w:cs="Arial"/>
          <w:b/>
          <w:bCs/>
          <w:color w:val="2F5496"/>
          <w:sz w:val="24"/>
          <w:szCs w:val="24"/>
        </w:rPr>
        <w:t xml:space="preserve">Cele katechetyczne </w:t>
      </w:r>
      <w:r w:rsidRPr="005C598D">
        <w:rPr>
          <w:rFonts w:ascii="Arial" w:hAnsi="Arial" w:cs="Arial"/>
        </w:rPr>
        <w:t>(wymagania ogólne)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</w:rPr>
        <w:t>Poznanie zaangażowania charytatywnego ks. Jana Machy i wydarzenia jego śmierci, pobudzenie do otwartości na potrzebujących.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</w:rPr>
        <w:br/>
      </w:r>
      <w:r w:rsidRPr="005C598D">
        <w:rPr>
          <w:rFonts w:ascii="Arial" w:hAnsi="Arial" w:cs="Arial"/>
          <w:b/>
          <w:bCs/>
          <w:color w:val="2F5496"/>
          <w:sz w:val="24"/>
          <w:szCs w:val="24"/>
        </w:rPr>
        <w:t>Treści  nauczania</w:t>
      </w:r>
      <w:r w:rsidRPr="005C598D">
        <w:rPr>
          <w:rFonts w:ascii="Arial" w:hAnsi="Arial" w:cs="Arial"/>
          <w:color w:val="2F5496"/>
          <w:sz w:val="24"/>
          <w:szCs w:val="24"/>
        </w:rPr>
        <w:t xml:space="preserve"> </w:t>
      </w:r>
      <w:r w:rsidRPr="005C598D">
        <w:rPr>
          <w:rFonts w:ascii="Arial" w:hAnsi="Arial" w:cs="Arial"/>
        </w:rPr>
        <w:t>(wymagania szczegółowe)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  <w:b/>
          <w:bCs/>
        </w:rPr>
        <w:t>Uczeń:</w:t>
      </w:r>
      <w:r w:rsidRPr="005C598D">
        <w:rPr>
          <w:rFonts w:ascii="Arial" w:hAnsi="Arial" w:cs="Arial"/>
        </w:rPr>
        <w:t xml:space="preserve"> opowiada o działalności charytatywnej ks. Jana Machy, wskazuje powody jego śmierci, jest otwarty na potrzebujących, rozpoznaje wizerunek ks. Jana Machy.</w:t>
      </w:r>
    </w:p>
    <w:p w:rsidR="003D31C9" w:rsidRPr="005C598D" w:rsidRDefault="003D31C9" w:rsidP="005C598D">
      <w:pPr>
        <w:spacing w:after="60"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spacing w:after="60" w:line="360" w:lineRule="auto"/>
        <w:ind w:firstLine="708"/>
        <w:rPr>
          <w:rFonts w:ascii="Arial" w:hAnsi="Arial" w:cs="Arial"/>
          <w:color w:val="2F5496"/>
        </w:rPr>
      </w:pPr>
      <w:r w:rsidRPr="005C598D">
        <w:rPr>
          <w:rFonts w:ascii="Arial" w:hAnsi="Arial" w:cs="Arial"/>
          <w:b/>
          <w:bCs/>
          <w:color w:val="2F5496"/>
          <w:sz w:val="24"/>
          <w:szCs w:val="24"/>
        </w:rPr>
        <w:t>Metody nauczania/uczenia się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</w:rPr>
        <w:t>Prezentacja multimedialna (Prezi), rysowanie, burza mózgów, pogadanka, analiza tekstu, czytanie ze zrozumieniem</w:t>
      </w:r>
      <w:r>
        <w:rPr>
          <w:rFonts w:ascii="Arial" w:hAnsi="Arial" w:cs="Arial"/>
        </w:rPr>
        <w:t>.</w:t>
      </w:r>
    </w:p>
    <w:p w:rsidR="003D31C9" w:rsidRPr="005C598D" w:rsidRDefault="003D31C9" w:rsidP="005C598D">
      <w:pPr>
        <w:spacing w:after="60" w:line="360" w:lineRule="auto"/>
        <w:ind w:firstLine="708"/>
        <w:rPr>
          <w:rFonts w:ascii="Arial" w:hAnsi="Arial" w:cs="Arial"/>
        </w:rPr>
      </w:pPr>
      <w:r w:rsidRPr="00C84740">
        <w:rPr>
          <w:rFonts w:ascii="Arial" w:hAnsi="Arial" w:cs="Arial"/>
          <w:b/>
          <w:bCs/>
          <w:color w:val="666699"/>
        </w:rPr>
        <w:t>Formy organizacyjne nauczania/uczenia się</w:t>
      </w:r>
      <w:r w:rsidRPr="005C598D">
        <w:rPr>
          <w:rFonts w:ascii="Arial" w:hAnsi="Arial" w:cs="Arial"/>
        </w:rPr>
        <w:t>: frontalna.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</w:rPr>
        <w:br/>
      </w:r>
      <w:r w:rsidRPr="005C598D">
        <w:rPr>
          <w:rFonts w:ascii="Arial" w:hAnsi="Arial" w:cs="Arial"/>
          <w:b/>
          <w:bCs/>
          <w:color w:val="2F5496"/>
          <w:sz w:val="24"/>
          <w:szCs w:val="24"/>
        </w:rPr>
        <w:t>Środki dydaktyczne</w:t>
      </w:r>
      <w:r w:rsidRPr="005C598D">
        <w:rPr>
          <w:rFonts w:ascii="Arial" w:hAnsi="Arial" w:cs="Arial"/>
        </w:rPr>
        <w:t>: prezentacja multimedialna (Prezi), klucz, zamek lub kłódka, tablica, zeszyt, kartka A4, kredki, projektor do wyświetlenia prezentacji, komputer z dostępem do internetu.</w:t>
      </w:r>
    </w:p>
    <w:p w:rsidR="003D31C9" w:rsidRPr="005C598D" w:rsidRDefault="003D31C9" w:rsidP="005C598D">
      <w:pPr>
        <w:spacing w:after="60"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</w:rPr>
      </w:pPr>
      <w:r w:rsidRPr="005C598D">
        <w:rPr>
          <w:rFonts w:ascii="Arial" w:hAnsi="Arial" w:cs="Arial"/>
        </w:rPr>
        <w:t>______________</w:t>
      </w:r>
    </w:p>
    <w:p w:rsidR="003D31C9" w:rsidRPr="005C598D" w:rsidRDefault="003D31C9" w:rsidP="005C598D">
      <w:pPr>
        <w:spacing w:after="60" w:line="360" w:lineRule="auto"/>
        <w:ind w:left="708"/>
        <w:rPr>
          <w:rFonts w:ascii="Arial" w:hAnsi="Arial" w:cs="Arial"/>
          <w:b/>
          <w:bCs/>
          <w:color w:val="2F5496"/>
        </w:rPr>
      </w:pPr>
      <w:r w:rsidRPr="005C598D">
        <w:rPr>
          <w:rFonts w:ascii="Arial" w:hAnsi="Arial" w:cs="Arial"/>
          <w:b/>
          <w:bCs/>
          <w:color w:val="2F5496"/>
        </w:rPr>
        <w:t xml:space="preserve">Literatura metodyczna wykorzystana do opracowania scenariusza: </w:t>
      </w:r>
    </w:p>
    <w:p w:rsidR="003D31C9" w:rsidRPr="005C598D" w:rsidRDefault="003D31C9" w:rsidP="005C598D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Cs/>
        </w:rPr>
        <w:t>„</w:t>
      </w:r>
      <w:r w:rsidRPr="005C598D">
        <w:rPr>
          <w:rFonts w:ascii="Arial" w:hAnsi="Arial" w:cs="Arial"/>
          <w:iCs/>
        </w:rPr>
        <w:t xml:space="preserve">Żyłem krótko, lecz cel swój osiągnąłem. </w:t>
      </w:r>
      <w:r w:rsidRPr="005C598D">
        <w:rPr>
          <w:rFonts w:ascii="Arial" w:hAnsi="Arial" w:cs="Arial"/>
          <w:iCs/>
          <w:lang w:val="en-US"/>
        </w:rPr>
        <w:t>Ks. Jan Macha (1914</w:t>
      </w:r>
      <w:r>
        <w:rPr>
          <w:rFonts w:ascii="Arial" w:hAnsi="Arial" w:cs="Arial"/>
          <w:iCs/>
          <w:lang w:val="en-US"/>
        </w:rPr>
        <w:t>–</w:t>
      </w:r>
      <w:r w:rsidRPr="005C598D">
        <w:rPr>
          <w:rFonts w:ascii="Arial" w:hAnsi="Arial" w:cs="Arial"/>
          <w:iCs/>
          <w:lang w:val="en-US"/>
        </w:rPr>
        <w:t>1942)</w:t>
      </w:r>
      <w:r>
        <w:rPr>
          <w:rFonts w:ascii="Arial" w:hAnsi="Arial" w:cs="Arial"/>
          <w:iCs/>
          <w:lang w:val="en-US"/>
        </w:rPr>
        <w:t>”</w:t>
      </w:r>
      <w:r w:rsidRPr="005C598D">
        <w:rPr>
          <w:rFonts w:ascii="Arial" w:hAnsi="Arial" w:cs="Arial"/>
          <w:lang w:val="en-US"/>
        </w:rPr>
        <w:t xml:space="preserve">, red. J. Myszor, Emmanuel, Katowice 2014; </w:t>
      </w:r>
    </w:p>
    <w:p w:rsidR="003D31C9" w:rsidRPr="005C598D" w:rsidRDefault="003D31C9" w:rsidP="005C598D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</w:rPr>
      </w:pPr>
      <w:r w:rsidRPr="005C598D">
        <w:rPr>
          <w:rFonts w:ascii="Arial" w:hAnsi="Arial" w:cs="Arial"/>
        </w:rPr>
        <w:t>Prezentacja (Prezi): https://prezi.com/sc6ztp5-4ijm/present/?auth_key=vwapcyo&amp;follow=_hh9vyztelwm</w:t>
      </w:r>
    </w:p>
    <w:p w:rsidR="003D31C9" w:rsidRPr="005C598D" w:rsidRDefault="003D31C9" w:rsidP="005C598D">
      <w:pPr>
        <w:spacing w:after="60"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spacing w:after="60"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spacing w:after="60" w:line="360" w:lineRule="auto"/>
        <w:rPr>
          <w:rFonts w:ascii="Arial" w:hAnsi="Arial" w:cs="Arial"/>
        </w:rPr>
      </w:pPr>
    </w:p>
    <w:p w:rsidR="003D31C9" w:rsidRPr="005C598D" w:rsidRDefault="003D31C9" w:rsidP="005C598D">
      <w:pPr>
        <w:spacing w:after="60" w:line="360" w:lineRule="auto"/>
        <w:rPr>
          <w:rFonts w:ascii="Arial" w:hAnsi="Arial" w:cs="Arial"/>
        </w:rPr>
        <w:sectPr w:rsidR="003D31C9" w:rsidRPr="005C598D" w:rsidSect="00D363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31C9" w:rsidRPr="005C598D" w:rsidRDefault="003D31C9" w:rsidP="005C59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5C598D">
        <w:rPr>
          <w:rFonts w:ascii="Arial" w:hAnsi="Arial" w:cs="Arial"/>
          <w:b/>
          <w:bCs/>
          <w:color w:val="2F5496"/>
          <w:sz w:val="24"/>
          <w:szCs w:val="24"/>
        </w:rPr>
        <w:t>Część szczegółowa</w:t>
      </w:r>
    </w:p>
    <w:tbl>
      <w:tblPr>
        <w:tblW w:w="157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136"/>
        <w:gridCol w:w="3067"/>
        <w:gridCol w:w="2894"/>
        <w:gridCol w:w="1768"/>
        <w:gridCol w:w="1832"/>
        <w:gridCol w:w="1807"/>
        <w:gridCol w:w="1550"/>
        <w:gridCol w:w="1676"/>
      </w:tblGrid>
      <w:tr w:rsidR="003D31C9" w:rsidRPr="005C598D" w:rsidTr="003B2D90">
        <w:tc>
          <w:tcPr>
            <w:tcW w:w="1137" w:type="dxa"/>
            <w:tcBorders>
              <w:righ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Część lekcji</w:t>
            </w:r>
          </w:p>
        </w:tc>
        <w:tc>
          <w:tcPr>
            <w:tcW w:w="3184" w:type="dxa"/>
            <w:tcBorders>
              <w:left w:val="nil"/>
              <w:righ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nauczyciela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ucznia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Metody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Formy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dydaktyczne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Korelacja </w:t>
            </w:r>
            <w:r w:rsidRPr="005C598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z edukacją szkolną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3D31C9" w:rsidRPr="005C598D" w:rsidTr="003B2D90">
        <w:trPr>
          <w:trHeight w:val="1134"/>
        </w:trPr>
        <w:tc>
          <w:tcPr>
            <w:tcW w:w="1137" w:type="dxa"/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</w:rPr>
              <w:t>Wstępna</w:t>
            </w:r>
          </w:p>
        </w:tc>
        <w:tc>
          <w:tcPr>
            <w:tcW w:w="3184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Przywitanie uczniów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Prośba o przygotowanie się do lekcji (przygotowanie zeszytów i piórników)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Sprawdzenie obecności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Ukazanie zielonego klucza i wyznaczenie ucznia do otwarcia zamka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Poleceni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przypomnienia sobie, jakie poprzednie klucze nam nie pasowały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7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Przywitanie nauczyciela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Przygotowanie się do lekcji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Potwierdzenie obecności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Otwarcie zamka przez wyznaczonego ucznia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Burza mózgów w ramach przypomnienia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do czego odnosiły się poprzednie klucze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Burza mózgów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Frontalna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Klucz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Zamek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J.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C9" w:rsidRPr="005C598D" w:rsidTr="003B2D90">
        <w:tc>
          <w:tcPr>
            <w:tcW w:w="1137" w:type="dxa"/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</w:rPr>
              <w:t>Główna</w:t>
            </w:r>
          </w:p>
        </w:tc>
        <w:tc>
          <w:tcPr>
            <w:tcW w:w="3184" w:type="dxa"/>
            <w:shd w:val="clear" w:color="auto" w:fill="D9E2F3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Wprowadzenie do tematu (np. </w:t>
            </w:r>
            <w:r>
              <w:rPr>
                <w:rFonts w:ascii="Arial" w:hAnsi="Arial" w:cs="Arial"/>
                <w:sz w:val="20"/>
                <w:szCs w:val="20"/>
              </w:rPr>
              <w:t>„D</w:t>
            </w:r>
            <w:r w:rsidRPr="005C598D">
              <w:rPr>
                <w:rFonts w:ascii="Arial" w:hAnsi="Arial" w:cs="Arial"/>
                <w:sz w:val="20"/>
                <w:szCs w:val="20"/>
              </w:rPr>
              <w:t>zisiaj chcemy się dowiedzieć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co było kluczem do świętości Hanika, </w:t>
            </w:r>
            <w:r>
              <w:rPr>
                <w:rFonts w:ascii="Arial" w:hAnsi="Arial" w:cs="Arial"/>
                <w:sz w:val="20"/>
                <w:szCs w:val="20"/>
              </w:rPr>
              <w:t>czyli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ks. Jana Machy, zrobimy to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spotykając się z kilkoma osobami, które osobiście poznały naszego bohatera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i słuchając, co mają do powiedzenia)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Odczytanie lub polecenie odczytania ze slajdu (w starszych klasach) tekstu słów mamy ks. Jana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Polecenie wyciągnięcia informacji z przeczytanego tekstu (co wiemy o Haniku ze słów jego mamy, jaki był?) i zapisywanie ich na tablicy (był pomocny, serdeczny itd.)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Tak jak wyżej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analiza kolejnego tekstu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Zestawienie z dwóch poprzednich slajdów miłości Boga i ludzi (nie ma miłości Boga bez miłości do ludzi)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Opowiedzenie o działalności charytatywnej ks. Jana Machy w Rudzie Śląskiej (z</w:t>
            </w:r>
            <w:r>
              <w:rPr>
                <w:rFonts w:ascii="Arial" w:hAnsi="Arial" w:cs="Arial"/>
                <w:sz w:val="20"/>
                <w:szCs w:val="20"/>
              </w:rPr>
              <w:t>akończenie np. takimi słowami: „C</w:t>
            </w:r>
            <w:r w:rsidRPr="005C598D">
              <w:rPr>
                <w:rFonts w:ascii="Arial" w:hAnsi="Arial" w:cs="Arial"/>
                <w:sz w:val="20"/>
                <w:szCs w:val="20"/>
              </w:rPr>
              <w:t>hoć ks. Jan czynił dobro, kochał ludzi i Pana Boga, byli tac</w:t>
            </w:r>
            <w:r>
              <w:rPr>
                <w:rFonts w:ascii="Arial" w:hAnsi="Arial" w:cs="Arial"/>
                <w:sz w:val="20"/>
                <w:szCs w:val="20"/>
              </w:rPr>
              <w:t>y, którym się to nie podobało. B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ali się, że przez to będzie bardziej szanowany od nich, bo nie rozumieli, że on </w:t>
            </w:r>
            <w:r>
              <w:rPr>
                <w:rFonts w:ascii="Arial" w:hAnsi="Arial" w:cs="Arial"/>
                <w:sz w:val="20"/>
                <w:szCs w:val="20"/>
              </w:rPr>
              <w:t>tego nie robi, aby go chwalono. P</w:t>
            </w:r>
            <w:r w:rsidRPr="005C598D">
              <w:rPr>
                <w:rFonts w:ascii="Arial" w:hAnsi="Arial" w:cs="Arial"/>
                <w:sz w:val="20"/>
                <w:szCs w:val="20"/>
              </w:rPr>
              <w:t>ostanowili więc się go pozbyć i tak się stało w Katowicach w więzieniu. Dzisiaj podziwiamy odwagę ks. Jana, jego ogromne serce i pytamy go, jak kochać dzisiaj ludzi, których spotykamy 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na Śląsku, gdzie on też żył)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Polecenie wykonania rysunku ks. Jana Machy niosącego pomoc potrzebującym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E2F3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Wysłuchanie wprowadzenia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C598D">
              <w:rPr>
                <w:rFonts w:ascii="Arial" w:hAnsi="Arial" w:cs="Arial"/>
                <w:sz w:val="20"/>
                <w:szCs w:val="20"/>
              </w:rPr>
              <w:t>Analiza tekstu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C598D">
              <w:rPr>
                <w:rFonts w:ascii="Arial" w:hAnsi="Arial" w:cs="Arial"/>
                <w:sz w:val="20"/>
                <w:szCs w:val="20"/>
              </w:rPr>
              <w:t>Wyciąganie informacji z tekstu i zapisywanie na tablicy i w zeszytach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Wysłuchanie historii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Wykonanie rysunku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D9E2F3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Pogadanka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Analiza tekstu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Czytanie ze zrozumieniem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Rysowanie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  <w:shd w:val="clear" w:color="auto" w:fill="D9E2F3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Frontalna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D9E2F3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Prezentacja multimedialna (Prezi)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Tablica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Zeszyt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C598D">
              <w:rPr>
                <w:rFonts w:ascii="Arial" w:hAnsi="Arial" w:cs="Arial"/>
                <w:sz w:val="20"/>
                <w:szCs w:val="20"/>
              </w:rPr>
              <w:t>Kartka A4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Kredki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shd w:val="clear" w:color="auto" w:fill="D9E2F3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J.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C598D">
              <w:rPr>
                <w:rFonts w:ascii="Arial" w:hAnsi="Arial" w:cs="Arial"/>
                <w:sz w:val="20"/>
                <w:szCs w:val="20"/>
              </w:rPr>
              <w:t>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Plastyka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E2F3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W opowiadaniu o historii ks. Jana Machy należy posłużyć się załącznikiem do konspektów katechez specjalnych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Z wykonanych rysunków można utworzyć klasową lub szkolną galerię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31C9" w:rsidRPr="005C598D" w:rsidTr="003B2D90">
        <w:trPr>
          <w:trHeight w:val="1134"/>
        </w:trPr>
        <w:tc>
          <w:tcPr>
            <w:tcW w:w="1137" w:type="dxa"/>
            <w:shd w:val="clear" w:color="auto" w:fill="4472C4"/>
          </w:tcPr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3D31C9" w:rsidRPr="005C598D" w:rsidRDefault="003D31C9" w:rsidP="005C5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C598D">
              <w:rPr>
                <w:rFonts w:ascii="Arial" w:hAnsi="Arial" w:cs="Arial"/>
                <w:b/>
                <w:bCs/>
                <w:color w:val="FFFFFF"/>
                <w:sz w:val="20"/>
              </w:rPr>
              <w:t>Końcowa</w:t>
            </w:r>
          </w:p>
        </w:tc>
        <w:tc>
          <w:tcPr>
            <w:tcW w:w="3184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Propozycja zbiórki środków higienicznych, jedzenia lub ubrań dla potrzebujących (w porozumieniu z wychowawcą i po informacji rodziców)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Modlitwa o serce potrafiące kochać ludzi i Boga z ks. Janem Machą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Włączenie się w dzieło charytatywne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Modlitwa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Frontalna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C598D">
              <w:rPr>
                <w:rFonts w:ascii="Arial" w:hAnsi="Arial" w:cs="Arial"/>
                <w:sz w:val="20"/>
                <w:szCs w:val="20"/>
              </w:rPr>
              <w:t xml:space="preserve"> Lekcja wychowawcza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B4C6E7"/>
          </w:tcPr>
          <w:p w:rsidR="003D31C9" w:rsidRPr="005C598D" w:rsidRDefault="003D31C9" w:rsidP="005C5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1C9" w:rsidRPr="005C598D" w:rsidRDefault="003D31C9" w:rsidP="005C598D">
      <w:pPr>
        <w:spacing w:line="360" w:lineRule="auto"/>
        <w:rPr>
          <w:rFonts w:ascii="Arial" w:hAnsi="Arial" w:cs="Arial"/>
        </w:rPr>
      </w:pPr>
    </w:p>
    <w:sectPr w:rsidR="003D31C9" w:rsidRPr="005C598D" w:rsidSect="00857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F"/>
    <w:multiLevelType w:val="hybridMultilevel"/>
    <w:tmpl w:val="DD9E94E4"/>
    <w:lvl w:ilvl="0" w:tplc="553AF0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CD3BFD"/>
    <w:multiLevelType w:val="hybridMultilevel"/>
    <w:tmpl w:val="51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7593D"/>
    <w:multiLevelType w:val="hybridMultilevel"/>
    <w:tmpl w:val="837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11D44"/>
    <w:multiLevelType w:val="hybridMultilevel"/>
    <w:tmpl w:val="DF124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34"/>
    <w:rsid w:val="000B6F84"/>
    <w:rsid w:val="000F2434"/>
    <w:rsid w:val="00325AC7"/>
    <w:rsid w:val="003B2D90"/>
    <w:rsid w:val="003D31C9"/>
    <w:rsid w:val="0044323C"/>
    <w:rsid w:val="004B2A2C"/>
    <w:rsid w:val="004E6C55"/>
    <w:rsid w:val="005C598D"/>
    <w:rsid w:val="00662D2D"/>
    <w:rsid w:val="0077318C"/>
    <w:rsid w:val="00811FC5"/>
    <w:rsid w:val="0085703A"/>
    <w:rsid w:val="00A15FF8"/>
    <w:rsid w:val="00AD394B"/>
    <w:rsid w:val="00C720C4"/>
    <w:rsid w:val="00C84740"/>
    <w:rsid w:val="00D3638E"/>
    <w:rsid w:val="00EE4FCB"/>
    <w:rsid w:val="00F6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2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D2D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D2D"/>
    <w:rPr>
      <w:rFonts w:ascii="Arial Black" w:hAnsi="Arial Black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0F2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uiPriority w:val="99"/>
    <w:rsid w:val="00662D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paragraph" w:styleId="ListParagraph">
    <w:name w:val="List Paragraph"/>
    <w:basedOn w:val="Normal"/>
    <w:uiPriority w:val="99"/>
    <w:qFormat/>
    <w:rsid w:val="00662D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638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63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595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Dawid</dc:creator>
  <cp:keywords/>
  <dc:description/>
  <cp:lastModifiedBy>xMarek Gancarczyk</cp:lastModifiedBy>
  <cp:revision>4</cp:revision>
  <dcterms:created xsi:type="dcterms:W3CDTF">2021-09-24T09:36:00Z</dcterms:created>
  <dcterms:modified xsi:type="dcterms:W3CDTF">2021-10-06T09:41:00Z</dcterms:modified>
</cp:coreProperties>
</file>